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E" w:rsidRDefault="00E31B5E" w:rsidP="00E31B5E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CF169F">
        <w:rPr>
          <w:rFonts w:eastAsia="Times New Roman" w:cs="Times New Roman"/>
          <w:color w:val="000000"/>
          <w:sz w:val="28"/>
          <w:szCs w:val="28"/>
        </w:rPr>
        <w:t xml:space="preserve">Višegodišnji prinosi merkantilnog kukuruza u periodu od 1986 do 2018 </w:t>
      </w:r>
    </w:p>
    <w:p w:rsidR="00E31B5E" w:rsidRPr="00CF169F" w:rsidRDefault="00E31B5E" w:rsidP="00E31B5E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CF169F">
        <w:rPr>
          <w:rFonts w:eastAsia="Times New Roman" w:cs="Times New Roman"/>
          <w:color w:val="000000"/>
          <w:sz w:val="28"/>
          <w:szCs w:val="28"/>
        </w:rPr>
        <w:t>na području grada Sombora</w:t>
      </w:r>
    </w:p>
    <w:p w:rsidR="00EE3CCB" w:rsidRDefault="00EE3CCB"/>
    <w:p w:rsidR="00E31B5E" w:rsidRDefault="00E31B5E">
      <w:r w:rsidRPr="00E31B5E">
        <w:drawing>
          <wp:inline distT="0" distB="0" distL="0" distR="0">
            <wp:extent cx="5581650" cy="291465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31B5E" w:rsidSect="00184BE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31B5E"/>
    <w:rsid w:val="00184BE8"/>
    <w:rsid w:val="00E31B5E"/>
    <w:rsid w:val="00EE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vi&#353;egodi&#353;nji%20prinosi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Prinos t/ha</c:v>
          </c:tx>
          <c:dLbls>
            <c:txPr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numRef>
              <c:f>kukuruz!$B$3:$B$27</c:f>
              <c:numCache>
                <c:formatCode>General</c:formatCode>
                <c:ptCount val="25"/>
                <c:pt idx="0">
                  <c:v>1986</c:v>
                </c:pt>
                <c:pt idx="1">
                  <c:v>1988</c:v>
                </c:pt>
                <c:pt idx="2">
                  <c:v>1989</c:v>
                </c:pt>
                <c:pt idx="3">
                  <c:v>1990</c:v>
                </c:pt>
                <c:pt idx="4">
                  <c:v>1992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  <c:pt idx="24">
                  <c:v>2018</c:v>
                </c:pt>
              </c:numCache>
            </c:numRef>
          </c:cat>
          <c:val>
            <c:numRef>
              <c:f>kukuruz!$A$3:$A$27</c:f>
              <c:numCache>
                <c:formatCode>0.00</c:formatCode>
                <c:ptCount val="25"/>
                <c:pt idx="0">
                  <c:v>8.8000000000000007</c:v>
                </c:pt>
                <c:pt idx="1">
                  <c:v>6.38</c:v>
                </c:pt>
                <c:pt idx="2">
                  <c:v>6.3599999999999985</c:v>
                </c:pt>
                <c:pt idx="3">
                  <c:v>4.63</c:v>
                </c:pt>
                <c:pt idx="4">
                  <c:v>4.8599999999999985</c:v>
                </c:pt>
                <c:pt idx="5">
                  <c:v>7.3199999999999985</c:v>
                </c:pt>
                <c:pt idx="6">
                  <c:v>5.67</c:v>
                </c:pt>
                <c:pt idx="7">
                  <c:v>7.8</c:v>
                </c:pt>
                <c:pt idx="8">
                  <c:v>7.05</c:v>
                </c:pt>
                <c:pt idx="9">
                  <c:v>5.0599999999999996</c:v>
                </c:pt>
                <c:pt idx="10">
                  <c:v>8.0500000000000007</c:v>
                </c:pt>
                <c:pt idx="11">
                  <c:v>8.68</c:v>
                </c:pt>
                <c:pt idx="12">
                  <c:v>8.76</c:v>
                </c:pt>
                <c:pt idx="13">
                  <c:v>7.35</c:v>
                </c:pt>
                <c:pt idx="14">
                  <c:v>9.56</c:v>
                </c:pt>
                <c:pt idx="15">
                  <c:v>8.75</c:v>
                </c:pt>
                <c:pt idx="16">
                  <c:v>9.2000000000000011</c:v>
                </c:pt>
                <c:pt idx="17">
                  <c:v>9.4700000000000006</c:v>
                </c:pt>
                <c:pt idx="18">
                  <c:v>5.51</c:v>
                </c:pt>
                <c:pt idx="19">
                  <c:v>8.7800000000000011</c:v>
                </c:pt>
                <c:pt idx="20">
                  <c:v>11.6</c:v>
                </c:pt>
                <c:pt idx="21">
                  <c:v>9.99</c:v>
                </c:pt>
                <c:pt idx="22">
                  <c:v>11.8</c:v>
                </c:pt>
                <c:pt idx="23">
                  <c:v>5.6</c:v>
                </c:pt>
                <c:pt idx="24">
                  <c:v>11.96</c:v>
                </c:pt>
              </c:numCache>
            </c:numRef>
          </c:val>
        </c:ser>
        <c:dLbls>
          <c:showVal val="1"/>
        </c:dLbls>
        <c:shape val="cylinder"/>
        <c:axId val="111803392"/>
        <c:axId val="113185536"/>
        <c:axId val="0"/>
      </c:bar3DChart>
      <c:catAx>
        <c:axId val="1118033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3185536"/>
        <c:crosses val="autoZero"/>
        <c:auto val="1"/>
        <c:lblAlgn val="ctr"/>
        <c:lblOffset val="100"/>
      </c:catAx>
      <c:valAx>
        <c:axId val="113185536"/>
        <c:scaling>
          <c:orientation val="minMax"/>
        </c:scaling>
        <c:delete val="1"/>
        <c:axPos val="l"/>
        <c:numFmt formatCode="0.00" sourceLinked="1"/>
        <c:tickLblPos val="none"/>
        <c:crossAx val="111803392"/>
        <c:crosses val="autoZero"/>
        <c:crossBetween val="between"/>
      </c:valAx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2018-11-29T09:24:00Z</dcterms:created>
  <dcterms:modified xsi:type="dcterms:W3CDTF">2018-11-29T09:25:00Z</dcterms:modified>
</cp:coreProperties>
</file>